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8viu5r3i6c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LawFuel Retention Bonus Negotiation Checklist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br8fx8hwk9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(2026 Edition)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Before you sign a retention agreement that looks generous but reads like a mortgage, run through this list.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d8zta41kg0c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Bonus Structure Review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Confirm the total bonus amount</w:t>
      </w:r>
      <w:r w:rsidDel="00000000" w:rsidR="00000000" w:rsidRPr="00000000">
        <w:rPr>
          <w:sz w:val="28"/>
          <w:szCs w:val="28"/>
          <w:rtl w:val="0"/>
        </w:rPr>
        <w:t xml:space="preserve"> (gross and estimated net after tax).</w:t>
        <w:br w:type="textWrapping"/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Clarify payment format</w:t>
      </w:r>
      <w:r w:rsidDel="00000000" w:rsidR="00000000" w:rsidRPr="00000000">
        <w:rPr>
          <w:sz w:val="28"/>
          <w:szCs w:val="28"/>
          <w:rtl w:val="0"/>
        </w:rPr>
        <w:t xml:space="preserve"> – lump sum or staggered instalments.</w:t>
        <w:br w:type="textWrapping"/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Check performance conditions</w:t>
      </w:r>
      <w:r w:rsidDel="00000000" w:rsidR="00000000" w:rsidRPr="00000000">
        <w:rPr>
          <w:sz w:val="28"/>
          <w:szCs w:val="28"/>
          <w:rtl w:val="0"/>
        </w:rPr>
        <w:t xml:space="preserve"> – billable hour or revenue thresholds.</w:t>
        <w:br w:type="textWrapping"/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Confirm payment timing</w:t>
      </w:r>
      <w:r w:rsidDel="00000000" w:rsidR="00000000" w:rsidRPr="00000000">
        <w:rPr>
          <w:sz w:val="28"/>
          <w:szCs w:val="28"/>
          <w:rtl w:val="0"/>
        </w:rPr>
        <w:t xml:space="preserve"> – specific dates, not vague “subject to firm discretion.”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451o1v5lysog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Clawback &amp; Repayment Terms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Review the minimum service period required.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Understand pro-rated repayment provisions.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Confirm repayment obligations if terminated without cause.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Clarify repayment terms if partnership is delayed or denied.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b73lpkzxb56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Tax &amp; Financial Impact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Confirm tax treatment in your jurisdiction.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Assess tax implications if clawback is triggered.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Determine impact on pension/superannuation contributions.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ggyoyj85e508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Career &amp; Partnership Track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Confirm whether the bonus affects partnership consideration timeline.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Clarify whether the bonus substitutes for equity participation.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Request written confirmation of partnership evaluation milestones.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hwvgi23y4go" w:id="6"/>
      <w:bookmarkEnd w:id="6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Negotiation Levers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Request a shorter clawback period where possible.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Negotiate partial salary uplift alongside the bonus.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Seek professional development or AI/tech training allowances.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Assess flexible or hybrid work provisions as part of the package.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7ca6n11h6s3i" w:id="7"/>
      <w:bookmarkEnd w:id="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Exit Scenario Planning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Review notice period interaction with bonus terms.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Clarify non-compete and non-solicitation implications.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☐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Understand the impact on deferred compensation.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lmu1kgii3jii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LawFuel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Legal Industry Intelligence &amp; Analysis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